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4CC142C1" w:rsidR="00A160B2" w:rsidRDefault="00777E2D" w:rsidP="006C3150">
            <w:pPr>
              <w:pStyle w:val="Infotext"/>
              <w:rPr>
                <w:rFonts w:cs="Arial"/>
              </w:rPr>
            </w:pPr>
            <w:r>
              <w:rPr>
                <w:rFonts w:cs="Arial"/>
              </w:rPr>
              <w:t>16 December</w:t>
            </w:r>
            <w:r w:rsidR="00CE4DD2">
              <w:rPr>
                <w:rFonts w:cs="Arial"/>
              </w:rPr>
              <w:t xml:space="preserve"> 202</w:t>
            </w:r>
            <w:r w:rsidR="007B524B">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D40CC13" w14:textId="3D3D7962" w:rsidR="00A160B2" w:rsidRDefault="0075166A" w:rsidP="00CE4DD2">
            <w:pPr>
              <w:pStyle w:val="Infotext"/>
              <w:rPr>
                <w:rFonts w:cs="Arial"/>
              </w:rPr>
            </w:pPr>
            <w:r>
              <w:rPr>
                <w:rFonts w:cs="Arial"/>
              </w:rPr>
              <w:t>Review of Pension Fund Committee Items</w:t>
            </w:r>
            <w:r w:rsidR="002E5572">
              <w:rPr>
                <w:rFonts w:cs="Arial"/>
              </w:rPr>
              <w:t xml:space="preserve"> (24 November 2021)</w:t>
            </w:r>
            <w:bookmarkStart w:id="0" w:name="_GoBack"/>
            <w:bookmarkEnd w:id="0"/>
          </w:p>
          <w:p w14:paraId="5914456E" w14:textId="6F4A3785" w:rsidR="002E5572" w:rsidRDefault="002E5572"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35B4803" w14:textId="77777777" w:rsidR="00A160B2" w:rsidRDefault="00CE4DD2" w:rsidP="00CE4DD2">
            <w:pPr>
              <w:pStyle w:val="Infotext"/>
              <w:rPr>
                <w:rFonts w:cs="Arial"/>
              </w:rPr>
            </w:pPr>
            <w:r>
              <w:rPr>
                <w:rFonts w:cs="Arial"/>
              </w:rPr>
              <w:t>Dawn Calvert – Director of Finance and Assurance</w:t>
            </w:r>
          </w:p>
          <w:p w14:paraId="3CF266C9" w14:textId="09E1B7F7" w:rsidR="002E5572" w:rsidRDefault="002E5572"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7AEFB9C2" w:rsidR="00110A2F" w:rsidRPr="00E56213" w:rsidRDefault="00110A2F" w:rsidP="00110A2F">
            <w:pPr>
              <w:jc w:val="both"/>
              <w:rPr>
                <w:rFonts w:cs="Arial"/>
                <w:sz w:val="28"/>
                <w:szCs w:val="28"/>
              </w:rPr>
            </w:pPr>
            <w:r w:rsidRPr="00E56213">
              <w:rPr>
                <w:rFonts w:cs="Arial"/>
                <w:sz w:val="28"/>
                <w:szCs w:val="28"/>
              </w:rPr>
              <w:t xml:space="preserve">Yes – </w:t>
            </w:r>
            <w:r w:rsidR="002E5572">
              <w:rPr>
                <w:rFonts w:cs="Arial"/>
                <w:sz w:val="28"/>
                <w:szCs w:val="28"/>
              </w:rPr>
              <w:t>Appendix 2</w:t>
            </w:r>
            <w:r>
              <w:rPr>
                <w:rFonts w:cs="Arial"/>
                <w:sz w:val="28"/>
                <w:szCs w:val="28"/>
              </w:rPr>
              <w:t xml:space="preserve"> </w:t>
            </w:r>
            <w:r w:rsidR="002E5572">
              <w:rPr>
                <w:rFonts w:cs="Arial"/>
                <w:sz w:val="28"/>
                <w:szCs w:val="28"/>
              </w:rPr>
              <w:t>is e</w:t>
            </w:r>
            <w:r w:rsidRPr="00E56213">
              <w:rPr>
                <w:rFonts w:cs="Arial"/>
                <w:sz w:val="28"/>
                <w:szCs w:val="28"/>
              </w:rPr>
              <w:t>xempt from publication under paragraph 3, Part 1 of Schedule 12A to the Local Government Act 1972 (as amended) as it contains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2E5572" w:rsidRDefault="004B5D7B" w:rsidP="006C3150">
            <w:pPr>
              <w:pStyle w:val="Infotext"/>
              <w:rPr>
                <w:bCs/>
              </w:rPr>
            </w:pPr>
            <w:r w:rsidRPr="002E5572">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7D673E30" w:rsidR="00A160B2" w:rsidRDefault="00933709" w:rsidP="006C3150">
            <w:pPr>
              <w:pStyle w:val="Infotext"/>
            </w:pPr>
            <w:r>
              <w:t xml:space="preserve">Appendix 1 – Pension Fund Valuation at 31 </w:t>
            </w:r>
            <w:r w:rsidR="00777E2D">
              <w:t>October</w:t>
            </w:r>
            <w:r w:rsidR="0049221F">
              <w:t xml:space="preserve"> 2021</w:t>
            </w:r>
            <w:r w:rsidR="002E5572">
              <w:t>;</w:t>
            </w:r>
          </w:p>
          <w:p w14:paraId="2308D5BC" w14:textId="00CD344D" w:rsidR="00110A2F" w:rsidRDefault="002E5572" w:rsidP="006C3150">
            <w:pPr>
              <w:pStyle w:val="Infotext"/>
            </w:pPr>
            <w:r>
              <w:t>Appendix 2 (</w:t>
            </w:r>
            <w:r w:rsidR="00110A2F">
              <w:t>Exempt</w:t>
            </w:r>
            <w:r>
              <w:t xml:space="preserve">) - </w:t>
            </w:r>
            <w:r w:rsidR="00110A2F">
              <w:t xml:space="preserve">ESG Reporting Dashboard (Aon) </w:t>
            </w:r>
          </w:p>
          <w:p w14:paraId="4C232B02" w14:textId="68A8B197" w:rsidR="0049221F" w:rsidRDefault="0049221F"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6199C01E" w14:textId="77777777" w:rsidR="002E5572" w:rsidRDefault="002E5572" w:rsidP="00912904">
            <w:pPr>
              <w:pStyle w:val="Heading2"/>
              <w:spacing w:before="240" w:after="240"/>
            </w:pPr>
          </w:p>
          <w:p w14:paraId="47AF8288" w14:textId="7CC9B7B6"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7728EE56" w:rsidR="0075166A" w:rsidRPr="008658CB" w:rsidRDefault="0075166A" w:rsidP="0075166A">
            <w:r w:rsidRPr="008658CB">
              <w:t xml:space="preserve">This </w:t>
            </w:r>
            <w:r w:rsidRPr="00A154D4">
              <w:t xml:space="preserve">report </w:t>
            </w:r>
            <w:r>
              <w:t>summarises</w:t>
            </w:r>
            <w:r w:rsidRPr="00A154D4">
              <w:t xml:space="preserve"> the matters considered by the Pension Fund Committee at </w:t>
            </w:r>
            <w:r>
              <w:t xml:space="preserve">its </w:t>
            </w:r>
            <w:r w:rsidR="004B5D7B">
              <w:t>last</w:t>
            </w:r>
            <w:r w:rsidRPr="00A154D4">
              <w:t xml:space="preserve"> meeting on </w:t>
            </w:r>
            <w:r w:rsidR="00777E2D">
              <w:t>24 November</w:t>
            </w:r>
            <w:r>
              <w:t xml:space="preserve"> 2021</w:t>
            </w:r>
            <w:r w:rsidR="004B5D7B">
              <w:t xml:space="preserve"> </w:t>
            </w:r>
            <w:r w:rsidRPr="00A154D4">
              <w:t xml:space="preserve">and 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6D1121E0" w14:textId="77777777" w:rsidR="002E5572" w:rsidRDefault="002E5572" w:rsidP="00A160B2">
      <w:pPr>
        <w:pStyle w:val="Heading2"/>
      </w:pPr>
    </w:p>
    <w:p w14:paraId="53DC7DE2" w14:textId="391F1C55" w:rsidR="002A2389" w:rsidRDefault="002A2389" w:rsidP="00A160B2">
      <w:pPr>
        <w:pStyle w:val="Heading2"/>
      </w:pPr>
      <w:r>
        <w:lastRenderedPageBreak/>
        <w:t>Section 2 – Report</w:t>
      </w:r>
    </w:p>
    <w:p w14:paraId="798EC0FE" w14:textId="77777777" w:rsidR="002E5572" w:rsidRPr="002E5572" w:rsidRDefault="002E5572" w:rsidP="002E5572"/>
    <w:p w14:paraId="32610839" w14:textId="2EBF6074" w:rsidR="0075166A" w:rsidRPr="002E5572" w:rsidRDefault="0075166A" w:rsidP="00A66DE3">
      <w:pPr>
        <w:numPr>
          <w:ilvl w:val="0"/>
          <w:numId w:val="16"/>
        </w:numPr>
        <w:jc w:val="both"/>
        <w:rPr>
          <w:bCs/>
          <w:szCs w:val="24"/>
        </w:rPr>
      </w:pPr>
      <w:r>
        <w:t xml:space="preserve">The list of items considered </w:t>
      </w:r>
      <w:r w:rsidRPr="002E5572">
        <w:rPr>
          <w:bCs/>
          <w:szCs w:val="24"/>
        </w:rPr>
        <w:t xml:space="preserve">by the Pension Fund Committee at its meeting on </w:t>
      </w:r>
      <w:r w:rsidR="00260000" w:rsidRPr="002E5572">
        <w:rPr>
          <w:bCs/>
          <w:szCs w:val="24"/>
        </w:rPr>
        <w:t>24 November</w:t>
      </w:r>
      <w:r w:rsidRPr="002E5572">
        <w:rPr>
          <w:bCs/>
          <w:szCs w:val="24"/>
        </w:rPr>
        <w:t xml:space="preserve"> 2021 is summarised in the table below.</w:t>
      </w:r>
    </w:p>
    <w:p w14:paraId="4F8545BB" w14:textId="77777777" w:rsidR="0075166A" w:rsidRDefault="0075166A" w:rsidP="0075166A">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75166A" w14:paraId="41499451" w14:textId="77777777" w:rsidTr="00FC33FC">
        <w:tc>
          <w:tcPr>
            <w:tcW w:w="2961" w:type="dxa"/>
          </w:tcPr>
          <w:p w14:paraId="46D0EB4E" w14:textId="77777777" w:rsidR="0075166A" w:rsidRPr="005A6D20" w:rsidRDefault="0075166A" w:rsidP="00FC33FC">
            <w:pPr>
              <w:rPr>
                <w:b/>
                <w:szCs w:val="24"/>
              </w:rPr>
            </w:pPr>
            <w:r w:rsidRPr="005A6D20">
              <w:rPr>
                <w:b/>
                <w:szCs w:val="24"/>
              </w:rPr>
              <w:t>Report</w:t>
            </w:r>
          </w:p>
        </w:tc>
        <w:tc>
          <w:tcPr>
            <w:tcW w:w="4618" w:type="dxa"/>
          </w:tcPr>
          <w:p w14:paraId="57DFD70B" w14:textId="77777777" w:rsidR="0075166A" w:rsidRPr="005A6D20" w:rsidRDefault="0075166A" w:rsidP="00FC33FC">
            <w:pPr>
              <w:rPr>
                <w:b/>
                <w:szCs w:val="24"/>
              </w:rPr>
            </w:pPr>
            <w:r w:rsidRPr="005A6D20">
              <w:rPr>
                <w:b/>
                <w:szCs w:val="24"/>
              </w:rPr>
              <w:t>Comments</w:t>
            </w:r>
          </w:p>
        </w:tc>
      </w:tr>
      <w:tr w:rsidR="0075166A" w14:paraId="25073024" w14:textId="77777777" w:rsidTr="00FC33FC">
        <w:tc>
          <w:tcPr>
            <w:tcW w:w="2961" w:type="dxa"/>
          </w:tcPr>
          <w:p w14:paraId="3ECBC0AA" w14:textId="77777777" w:rsidR="0075166A" w:rsidRPr="002E7D60" w:rsidRDefault="0075166A" w:rsidP="00FC33FC">
            <w:pPr>
              <w:rPr>
                <w:b/>
                <w:szCs w:val="24"/>
              </w:rPr>
            </w:pPr>
            <w:r w:rsidRPr="002E7D60">
              <w:rPr>
                <w:b/>
                <w:szCs w:val="24"/>
              </w:rPr>
              <w:t>Part I</w:t>
            </w:r>
          </w:p>
        </w:tc>
        <w:tc>
          <w:tcPr>
            <w:tcW w:w="4618" w:type="dxa"/>
          </w:tcPr>
          <w:p w14:paraId="29AB2069" w14:textId="77777777" w:rsidR="0075166A" w:rsidRDefault="0075166A" w:rsidP="00FC33FC">
            <w:pPr>
              <w:rPr>
                <w:bCs/>
                <w:szCs w:val="24"/>
              </w:rPr>
            </w:pPr>
          </w:p>
        </w:tc>
      </w:tr>
      <w:tr w:rsidR="0075166A" w14:paraId="1A6E26A7" w14:textId="77777777" w:rsidTr="00481F2C">
        <w:tc>
          <w:tcPr>
            <w:tcW w:w="2961" w:type="dxa"/>
          </w:tcPr>
          <w:p w14:paraId="1FCEA04F" w14:textId="46F973B1" w:rsidR="0075166A" w:rsidRDefault="00777E2D" w:rsidP="00FC33FC">
            <w:pPr>
              <w:rPr>
                <w:bCs/>
                <w:szCs w:val="24"/>
              </w:rPr>
            </w:pPr>
            <w:r>
              <w:rPr>
                <w:bCs/>
                <w:szCs w:val="24"/>
              </w:rPr>
              <w:t>London Collective Investment Vehicle – Amendments to Shareholder Agreement and Articles of Association</w:t>
            </w:r>
          </w:p>
        </w:tc>
        <w:tc>
          <w:tcPr>
            <w:tcW w:w="4618" w:type="dxa"/>
            <w:shd w:val="clear" w:color="auto" w:fill="auto"/>
          </w:tcPr>
          <w:p w14:paraId="5EF4731E" w14:textId="64319AC0" w:rsidR="00777E2D" w:rsidRDefault="00777E2D" w:rsidP="00777E2D">
            <w:pPr>
              <w:rPr>
                <w:bCs/>
                <w:szCs w:val="24"/>
              </w:rPr>
            </w:pPr>
            <w:r>
              <w:rPr>
                <w:bCs/>
                <w:szCs w:val="24"/>
              </w:rPr>
              <w:t xml:space="preserve">As a result of some additions to its range of fund offerings, the London CIV needed to amend its definition of Regulatory Capital. As a company owned by the City of London and the 32 London Boroughs (as administering authorities for their pension funds) the change required approval by each of the authorities. This (technical) change was </w:t>
            </w:r>
            <w:r w:rsidRPr="00777E2D">
              <w:rPr>
                <w:bCs/>
                <w:szCs w:val="24"/>
              </w:rPr>
              <w:t>approved and authority delegated to the Director of Finance and Assurance to sign the necessary documentation</w:t>
            </w:r>
            <w:r>
              <w:rPr>
                <w:bCs/>
                <w:szCs w:val="24"/>
              </w:rPr>
              <w:t xml:space="preserve">. </w:t>
            </w:r>
          </w:p>
          <w:p w14:paraId="7EF1B9B4" w14:textId="3184AB07" w:rsidR="00540AA5" w:rsidRDefault="00540AA5" w:rsidP="00777E2D">
            <w:pPr>
              <w:rPr>
                <w:bCs/>
                <w:szCs w:val="24"/>
              </w:rPr>
            </w:pPr>
          </w:p>
        </w:tc>
      </w:tr>
      <w:tr w:rsidR="0075166A" w14:paraId="2F2A8C66" w14:textId="77777777" w:rsidTr="00FC33FC">
        <w:tc>
          <w:tcPr>
            <w:tcW w:w="2961" w:type="dxa"/>
          </w:tcPr>
          <w:p w14:paraId="0ECD9CAD" w14:textId="27F3BA24" w:rsidR="0075166A" w:rsidRDefault="00777E2D" w:rsidP="00FC33FC">
            <w:pPr>
              <w:rPr>
                <w:bCs/>
                <w:szCs w:val="24"/>
              </w:rPr>
            </w:pPr>
            <w:r>
              <w:rPr>
                <w:bCs/>
                <w:szCs w:val="24"/>
              </w:rPr>
              <w:t>Appointment of Independent Advisors</w:t>
            </w:r>
          </w:p>
          <w:p w14:paraId="010061AF" w14:textId="77777777" w:rsidR="0075166A" w:rsidRDefault="0075166A" w:rsidP="00FC33FC">
            <w:pPr>
              <w:rPr>
                <w:bCs/>
                <w:szCs w:val="24"/>
              </w:rPr>
            </w:pPr>
          </w:p>
        </w:tc>
        <w:tc>
          <w:tcPr>
            <w:tcW w:w="4618" w:type="dxa"/>
          </w:tcPr>
          <w:p w14:paraId="1BA4BBD2" w14:textId="77777777" w:rsidR="002A5BDC" w:rsidRDefault="002A5BDC" w:rsidP="00A644A0">
            <w:pPr>
              <w:rPr>
                <w:bCs/>
                <w:szCs w:val="24"/>
              </w:rPr>
            </w:pPr>
            <w:r>
              <w:rPr>
                <w:bCs/>
                <w:szCs w:val="24"/>
              </w:rPr>
              <w:t xml:space="preserve">The </w:t>
            </w:r>
            <w:r w:rsidR="00777E2D">
              <w:rPr>
                <w:bCs/>
                <w:szCs w:val="24"/>
              </w:rPr>
              <w:t xml:space="preserve">contracts of the Pension fund’s two Independent Advisors are due to expire in March 2022. The Committee approved the arrangements </w:t>
            </w:r>
            <w:r w:rsidR="00A644A0">
              <w:rPr>
                <w:bCs/>
                <w:szCs w:val="24"/>
              </w:rPr>
              <w:t xml:space="preserve">– delegating authority to the Director of Finance and Assurance, in consultation with two members of the Committee, </w:t>
            </w:r>
            <w:r w:rsidR="00777E2D">
              <w:rPr>
                <w:bCs/>
                <w:szCs w:val="24"/>
              </w:rPr>
              <w:t xml:space="preserve">to </w:t>
            </w:r>
            <w:r w:rsidR="00A644A0">
              <w:rPr>
                <w:bCs/>
                <w:szCs w:val="24"/>
              </w:rPr>
              <w:t xml:space="preserve">carry out the recruitment proves and recommend appointees to the next meeting of the Committee in March 2022. </w:t>
            </w:r>
          </w:p>
          <w:p w14:paraId="6EF103C5" w14:textId="06E85F82" w:rsidR="00A644A0" w:rsidRDefault="00A644A0" w:rsidP="00A644A0">
            <w:pPr>
              <w:rPr>
                <w:bCs/>
                <w:szCs w:val="24"/>
              </w:rPr>
            </w:pPr>
          </w:p>
        </w:tc>
      </w:tr>
      <w:tr w:rsidR="0075166A" w14:paraId="16044C78" w14:textId="77777777" w:rsidTr="00FC33FC">
        <w:tc>
          <w:tcPr>
            <w:tcW w:w="2961" w:type="dxa"/>
          </w:tcPr>
          <w:p w14:paraId="360DDD1A" w14:textId="77777777" w:rsidR="0075166A" w:rsidRDefault="0075166A" w:rsidP="00FC33FC">
            <w:pPr>
              <w:rPr>
                <w:bCs/>
                <w:szCs w:val="24"/>
              </w:rPr>
            </w:pPr>
            <w:r>
              <w:t>Performance Dashboard and Update on Regular items</w:t>
            </w:r>
          </w:p>
        </w:tc>
        <w:tc>
          <w:tcPr>
            <w:tcW w:w="4618" w:type="dxa"/>
          </w:tcPr>
          <w:p w14:paraId="79AA2BAF" w14:textId="58EC757B" w:rsidR="0075166A" w:rsidRDefault="004B5D7B" w:rsidP="00FC33FC">
            <w:pPr>
              <w:rPr>
                <w:bCs/>
                <w:szCs w:val="24"/>
              </w:rPr>
            </w:pPr>
            <w:r>
              <w:rPr>
                <w:bCs/>
                <w:szCs w:val="24"/>
              </w:rPr>
              <w:t>The Committee considered the</w:t>
            </w:r>
            <w:r w:rsidR="0075166A">
              <w:rPr>
                <w:bCs/>
                <w:szCs w:val="24"/>
              </w:rPr>
              <w:t xml:space="preserve"> report</w:t>
            </w:r>
            <w:r>
              <w:rPr>
                <w:bCs/>
                <w:szCs w:val="24"/>
              </w:rPr>
              <w:t xml:space="preserve">, which </w:t>
            </w:r>
            <w:r w:rsidR="0075166A">
              <w:rPr>
                <w:bCs/>
                <w:szCs w:val="24"/>
              </w:rPr>
              <w:t>summarise</w:t>
            </w:r>
            <w:r>
              <w:rPr>
                <w:bCs/>
                <w:szCs w:val="24"/>
              </w:rPr>
              <w:t>d</w:t>
            </w:r>
            <w:r w:rsidR="0075166A">
              <w:rPr>
                <w:bCs/>
                <w:szCs w:val="24"/>
              </w:rPr>
              <w:t xml:space="preserve"> the position of the Fund at </w:t>
            </w:r>
            <w:r w:rsidR="00F1403C">
              <w:rPr>
                <w:bCs/>
                <w:szCs w:val="24"/>
              </w:rPr>
              <w:t>the end of Q</w:t>
            </w:r>
            <w:r w:rsidR="00777E2D">
              <w:rPr>
                <w:bCs/>
                <w:szCs w:val="24"/>
              </w:rPr>
              <w:t>3</w:t>
            </w:r>
            <w:r w:rsidR="00F1403C">
              <w:rPr>
                <w:bCs/>
                <w:szCs w:val="24"/>
              </w:rPr>
              <w:t xml:space="preserve"> 202</w:t>
            </w:r>
            <w:r w:rsidR="002A5BDC">
              <w:rPr>
                <w:bCs/>
                <w:szCs w:val="24"/>
              </w:rPr>
              <w:t>1</w:t>
            </w:r>
            <w:r w:rsidR="00F1403C">
              <w:rPr>
                <w:bCs/>
                <w:szCs w:val="24"/>
              </w:rPr>
              <w:t xml:space="preserve"> (</w:t>
            </w:r>
            <w:r w:rsidR="002A5BDC">
              <w:rPr>
                <w:bCs/>
                <w:szCs w:val="24"/>
              </w:rPr>
              <w:t xml:space="preserve">30 </w:t>
            </w:r>
            <w:r w:rsidR="00777E2D">
              <w:rPr>
                <w:bCs/>
                <w:szCs w:val="24"/>
              </w:rPr>
              <w:t xml:space="preserve">September </w:t>
            </w:r>
            <w:r w:rsidR="002A5BDC">
              <w:rPr>
                <w:bCs/>
                <w:szCs w:val="24"/>
              </w:rPr>
              <w:t>2021</w:t>
            </w:r>
            <w:r w:rsidR="00F1403C">
              <w:rPr>
                <w:bCs/>
                <w:szCs w:val="24"/>
              </w:rPr>
              <w:t xml:space="preserve">) </w:t>
            </w:r>
            <w:r w:rsidR="0075166A">
              <w:rPr>
                <w:bCs/>
                <w:szCs w:val="24"/>
              </w:rPr>
              <w:t xml:space="preserve">and </w:t>
            </w:r>
            <w:r>
              <w:rPr>
                <w:bCs/>
                <w:szCs w:val="24"/>
              </w:rPr>
              <w:t xml:space="preserve">agreed a draft </w:t>
            </w:r>
            <w:r w:rsidR="0075166A">
              <w:rPr>
                <w:bCs/>
                <w:szCs w:val="24"/>
              </w:rPr>
              <w:t xml:space="preserve">work programme for the Committee for the </w:t>
            </w:r>
            <w:r w:rsidR="002A5BDC">
              <w:rPr>
                <w:bCs/>
                <w:szCs w:val="24"/>
              </w:rPr>
              <w:t xml:space="preserve">remainder of the </w:t>
            </w:r>
            <w:r w:rsidR="0075166A">
              <w:rPr>
                <w:bCs/>
                <w:szCs w:val="24"/>
              </w:rPr>
              <w:t>202</w:t>
            </w:r>
            <w:r w:rsidR="00F1403C">
              <w:rPr>
                <w:bCs/>
                <w:szCs w:val="24"/>
              </w:rPr>
              <w:t xml:space="preserve">1-22 municipal </w:t>
            </w:r>
            <w:r w:rsidR="00777E2D">
              <w:rPr>
                <w:bCs/>
                <w:szCs w:val="24"/>
              </w:rPr>
              <w:t>year.</w:t>
            </w:r>
            <w:r w:rsidR="0075166A">
              <w:rPr>
                <w:bCs/>
                <w:szCs w:val="24"/>
              </w:rPr>
              <w:t xml:space="preserve"> </w:t>
            </w:r>
          </w:p>
          <w:p w14:paraId="072448AA" w14:textId="77777777" w:rsidR="0075166A" w:rsidRDefault="0075166A" w:rsidP="004B5D7B">
            <w:pPr>
              <w:rPr>
                <w:bCs/>
                <w:szCs w:val="24"/>
              </w:rPr>
            </w:pPr>
          </w:p>
        </w:tc>
      </w:tr>
      <w:tr w:rsidR="001F6722" w14:paraId="6250D94D" w14:textId="77777777" w:rsidTr="00D365CC">
        <w:tc>
          <w:tcPr>
            <w:tcW w:w="2961" w:type="dxa"/>
          </w:tcPr>
          <w:p w14:paraId="7553BE51" w14:textId="484E1CFB" w:rsidR="001F6722" w:rsidRDefault="002A5BDC" w:rsidP="00FC33FC">
            <w:r>
              <w:t xml:space="preserve">Environmental, Social and Governance (ESG) Reporting </w:t>
            </w:r>
          </w:p>
        </w:tc>
        <w:tc>
          <w:tcPr>
            <w:tcW w:w="4618" w:type="dxa"/>
            <w:shd w:val="clear" w:color="auto" w:fill="auto"/>
          </w:tcPr>
          <w:p w14:paraId="529F5FA5" w14:textId="4C741E98" w:rsidR="00A644A0" w:rsidRDefault="0059168C" w:rsidP="00FC33FC">
            <w:pPr>
              <w:rPr>
                <w:bCs/>
                <w:szCs w:val="24"/>
              </w:rPr>
            </w:pPr>
            <w:r w:rsidRPr="00A644A0">
              <w:rPr>
                <w:bCs/>
                <w:szCs w:val="24"/>
              </w:rPr>
              <w:t xml:space="preserve">Following discussions at its previous meeting, the Committee considered a </w:t>
            </w:r>
            <w:r w:rsidR="00A644A0" w:rsidRPr="00A644A0">
              <w:rPr>
                <w:bCs/>
                <w:szCs w:val="24"/>
              </w:rPr>
              <w:t xml:space="preserve">draft dashboard produced by Aon which set out a possible format </w:t>
            </w:r>
            <w:r w:rsidR="00A644A0">
              <w:rPr>
                <w:bCs/>
                <w:szCs w:val="24"/>
              </w:rPr>
              <w:t>for</w:t>
            </w:r>
            <w:r w:rsidRPr="00A644A0">
              <w:rPr>
                <w:bCs/>
                <w:szCs w:val="24"/>
              </w:rPr>
              <w:t xml:space="preserve"> reporting of these issues </w:t>
            </w:r>
            <w:r w:rsidR="00A644A0">
              <w:rPr>
                <w:bCs/>
                <w:szCs w:val="24"/>
              </w:rPr>
              <w:t xml:space="preserve">– this was </w:t>
            </w:r>
            <w:r w:rsidR="002E5572">
              <w:rPr>
                <w:bCs/>
                <w:szCs w:val="24"/>
              </w:rPr>
              <w:t>approved and</w:t>
            </w:r>
            <w:r w:rsidR="00110A2F">
              <w:rPr>
                <w:bCs/>
                <w:szCs w:val="24"/>
              </w:rPr>
              <w:t xml:space="preserve"> is attached at Appendix 2 (exempt).</w:t>
            </w:r>
          </w:p>
          <w:p w14:paraId="779C8928" w14:textId="77777777" w:rsidR="00A644A0" w:rsidRDefault="00A644A0" w:rsidP="00FC33FC">
            <w:pPr>
              <w:rPr>
                <w:bCs/>
                <w:szCs w:val="24"/>
              </w:rPr>
            </w:pPr>
          </w:p>
          <w:p w14:paraId="3CC2C4B5" w14:textId="04BD839A" w:rsidR="001F6722" w:rsidRPr="00A644A0" w:rsidRDefault="00A644A0" w:rsidP="00FC33FC">
            <w:pPr>
              <w:rPr>
                <w:bCs/>
                <w:szCs w:val="24"/>
              </w:rPr>
            </w:pPr>
            <w:r>
              <w:rPr>
                <w:bCs/>
                <w:szCs w:val="24"/>
              </w:rPr>
              <w:t xml:space="preserve">The Committee also considered options offered by Blackrock for exercising voting rights in respect of the Fund’s passive equity investments. Aon provided an analysis of the options, and recommended that the approach of </w:t>
            </w:r>
            <w:r>
              <w:rPr>
                <w:bCs/>
                <w:szCs w:val="24"/>
              </w:rPr>
              <w:lastRenderedPageBreak/>
              <w:t xml:space="preserve">continuing to use Blackrock’s Investment Stewardship division to vote on the Fund’s behalf was the most appropriate This recommendation was approved. </w:t>
            </w:r>
            <w:r w:rsidR="00D365CC" w:rsidRPr="00A644A0">
              <w:rPr>
                <w:bCs/>
                <w:szCs w:val="24"/>
              </w:rPr>
              <w:t xml:space="preserve"> </w:t>
            </w:r>
          </w:p>
          <w:p w14:paraId="28B9286E" w14:textId="6754D6D6" w:rsidR="00540AA5" w:rsidRPr="00A644A0" w:rsidRDefault="00540AA5" w:rsidP="00FC33FC">
            <w:pPr>
              <w:rPr>
                <w:bCs/>
                <w:szCs w:val="24"/>
              </w:rPr>
            </w:pPr>
          </w:p>
        </w:tc>
      </w:tr>
      <w:tr w:rsidR="002A5BDC" w14:paraId="356D1E0D" w14:textId="77777777" w:rsidTr="00FC33FC">
        <w:tc>
          <w:tcPr>
            <w:tcW w:w="2961" w:type="dxa"/>
          </w:tcPr>
          <w:p w14:paraId="3DF65F9A" w14:textId="77777777" w:rsidR="002A5BDC" w:rsidRPr="002E7D60" w:rsidRDefault="002A5BDC" w:rsidP="002A5BDC">
            <w:pPr>
              <w:rPr>
                <w:b/>
                <w:szCs w:val="24"/>
              </w:rPr>
            </w:pPr>
            <w:r w:rsidRPr="002E7D60">
              <w:rPr>
                <w:b/>
                <w:szCs w:val="24"/>
              </w:rPr>
              <w:lastRenderedPageBreak/>
              <w:t>Part II</w:t>
            </w:r>
          </w:p>
        </w:tc>
        <w:tc>
          <w:tcPr>
            <w:tcW w:w="4618" w:type="dxa"/>
          </w:tcPr>
          <w:p w14:paraId="2FBE5FC7" w14:textId="77777777" w:rsidR="002A5BDC" w:rsidRDefault="002A5BDC" w:rsidP="002A5BDC">
            <w:pPr>
              <w:rPr>
                <w:bCs/>
                <w:szCs w:val="24"/>
              </w:rPr>
            </w:pPr>
          </w:p>
        </w:tc>
      </w:tr>
      <w:tr w:rsidR="00A644A0" w14:paraId="1199F105" w14:textId="77777777" w:rsidTr="00FC33FC">
        <w:tc>
          <w:tcPr>
            <w:tcW w:w="2961" w:type="dxa"/>
          </w:tcPr>
          <w:p w14:paraId="2FD39F7E" w14:textId="162ABAA1" w:rsidR="00A644A0" w:rsidRDefault="00A644A0" w:rsidP="002A5BDC">
            <w:pPr>
              <w:rPr>
                <w:bCs/>
                <w:szCs w:val="24"/>
              </w:rPr>
            </w:pPr>
            <w:r>
              <w:rPr>
                <w:bCs/>
                <w:szCs w:val="24"/>
              </w:rPr>
              <w:t>Actions Arising from the Manager Day held on 2 November 2021</w:t>
            </w:r>
          </w:p>
        </w:tc>
        <w:tc>
          <w:tcPr>
            <w:tcW w:w="4618" w:type="dxa"/>
          </w:tcPr>
          <w:p w14:paraId="43EF0F39" w14:textId="77777777" w:rsidR="00A644A0" w:rsidRDefault="00A644A0" w:rsidP="002A5BDC">
            <w:pPr>
              <w:rPr>
                <w:szCs w:val="24"/>
              </w:rPr>
            </w:pPr>
            <w:r>
              <w:rPr>
                <w:szCs w:val="24"/>
              </w:rPr>
              <w:t xml:space="preserve">Following the recent Manager Day, the Committee had asked for further information from the London CIV regarding its plans for the LCIV Global Equity Focus Fund (managed by Longview). Officers from the CIV presented and answered questions on this subject. </w:t>
            </w:r>
          </w:p>
          <w:p w14:paraId="2456E99A" w14:textId="37FFFAA0" w:rsidR="009824C9" w:rsidRDefault="009824C9" w:rsidP="002A5BDC">
            <w:pPr>
              <w:rPr>
                <w:szCs w:val="24"/>
              </w:rPr>
            </w:pPr>
            <w:r>
              <w:rPr>
                <w:szCs w:val="24"/>
              </w:rPr>
              <w:t>The Committee also considered a paper from Aon on options for its active emerging market equity investments and agreed a programme of further work on this matter to be carried out during January and February 2022.</w:t>
            </w:r>
          </w:p>
          <w:p w14:paraId="649A6177" w14:textId="4527D659" w:rsidR="009824C9" w:rsidRDefault="009824C9" w:rsidP="002A5BDC">
            <w:pPr>
              <w:rPr>
                <w:szCs w:val="24"/>
              </w:rPr>
            </w:pPr>
          </w:p>
        </w:tc>
      </w:tr>
      <w:tr w:rsidR="002A5BDC" w14:paraId="6A6EA753" w14:textId="77777777" w:rsidTr="00FC33FC">
        <w:tc>
          <w:tcPr>
            <w:tcW w:w="2961" w:type="dxa"/>
          </w:tcPr>
          <w:p w14:paraId="36269A83" w14:textId="30846253" w:rsidR="002A5BDC" w:rsidRDefault="00A644A0" w:rsidP="002A5BDC">
            <w:pPr>
              <w:rPr>
                <w:bCs/>
                <w:szCs w:val="24"/>
              </w:rPr>
            </w:pPr>
            <w:r>
              <w:rPr>
                <w:bCs/>
                <w:szCs w:val="24"/>
              </w:rPr>
              <w:t>C</w:t>
            </w:r>
            <w:r w:rsidR="0064241B">
              <w:rPr>
                <w:bCs/>
                <w:szCs w:val="24"/>
              </w:rPr>
              <w:t>ertain appendices from above reports were considered in part II</w:t>
            </w:r>
          </w:p>
        </w:tc>
        <w:tc>
          <w:tcPr>
            <w:tcW w:w="4618" w:type="dxa"/>
          </w:tcPr>
          <w:p w14:paraId="49DBB7E5" w14:textId="5047DA12" w:rsidR="002A5BDC" w:rsidRDefault="0064241B" w:rsidP="002A5BDC">
            <w:pPr>
              <w:rPr>
                <w:bCs/>
                <w:szCs w:val="24"/>
              </w:rPr>
            </w:pPr>
            <w:r>
              <w:rPr>
                <w:szCs w:val="24"/>
              </w:rPr>
              <w:t xml:space="preserve">Decisions / comments </w:t>
            </w:r>
            <w:r w:rsidR="00D365CC">
              <w:rPr>
                <w:szCs w:val="24"/>
              </w:rPr>
              <w:t xml:space="preserve">are </w:t>
            </w:r>
            <w:r>
              <w:rPr>
                <w:szCs w:val="24"/>
              </w:rPr>
              <w:t>reported above.</w:t>
            </w:r>
          </w:p>
          <w:p w14:paraId="2F304909" w14:textId="785401F3" w:rsidR="002A5BDC" w:rsidRDefault="002A5BDC" w:rsidP="002A5BDC">
            <w:pPr>
              <w:rPr>
                <w:bCs/>
                <w:szCs w:val="24"/>
              </w:rPr>
            </w:pPr>
          </w:p>
        </w:tc>
      </w:tr>
    </w:tbl>
    <w:p w14:paraId="383BD210" w14:textId="77777777" w:rsidR="0075166A" w:rsidRDefault="0075166A" w:rsidP="0075166A">
      <w:pPr>
        <w:ind w:left="720"/>
        <w:jc w:val="both"/>
      </w:pPr>
    </w:p>
    <w:p w14:paraId="6CFCCFC9" w14:textId="7DE79EA6" w:rsidR="001F6722" w:rsidRPr="00CB4353" w:rsidRDefault="004B5D7B" w:rsidP="00CB4353">
      <w:pPr>
        <w:numPr>
          <w:ilvl w:val="0"/>
          <w:numId w:val="16"/>
        </w:numPr>
        <w:jc w:val="both"/>
        <w:rPr>
          <w:szCs w:val="24"/>
        </w:rPr>
      </w:pPr>
      <w:r w:rsidRPr="00CB4353">
        <w:rPr>
          <w:szCs w:val="24"/>
        </w:rPr>
        <w:t>A training session</w:t>
      </w:r>
      <w:r w:rsidR="00751DF2" w:rsidRPr="00CB4353">
        <w:rPr>
          <w:szCs w:val="24"/>
        </w:rPr>
        <w:t xml:space="preserve"> </w:t>
      </w:r>
      <w:r w:rsidRPr="00CB4353">
        <w:rPr>
          <w:szCs w:val="24"/>
        </w:rPr>
        <w:t>was</w:t>
      </w:r>
      <w:r w:rsidR="00751DF2" w:rsidRPr="00CB4353">
        <w:rPr>
          <w:szCs w:val="24"/>
        </w:rPr>
        <w:t xml:space="preserve"> held immediately before the Committee’s meeting</w:t>
      </w:r>
      <w:r w:rsidR="001F6722" w:rsidRPr="00CB4353">
        <w:rPr>
          <w:szCs w:val="24"/>
        </w:rPr>
        <w:t xml:space="preserve">. </w:t>
      </w:r>
      <w:r w:rsidR="009824C9">
        <w:rPr>
          <w:szCs w:val="24"/>
        </w:rPr>
        <w:t>Laura McInroy from the Fund’s Actuaries, Hymans Robertson,</w:t>
      </w:r>
      <w:r w:rsidR="0064241B" w:rsidRPr="00CB4353">
        <w:rPr>
          <w:szCs w:val="24"/>
        </w:rPr>
        <w:t xml:space="preserve"> delivered the training, in which </w:t>
      </w:r>
      <w:r w:rsidR="009824C9">
        <w:rPr>
          <w:szCs w:val="24"/>
        </w:rPr>
        <w:t xml:space="preserve">she </w:t>
      </w:r>
      <w:r w:rsidRPr="00CB4353">
        <w:rPr>
          <w:szCs w:val="24"/>
        </w:rPr>
        <w:t>gave</w:t>
      </w:r>
      <w:r w:rsidR="001F6722" w:rsidRPr="00CB4353">
        <w:rPr>
          <w:szCs w:val="24"/>
        </w:rPr>
        <w:t xml:space="preserve"> a presentation</w:t>
      </w:r>
      <w:r w:rsidRPr="00CB4353">
        <w:rPr>
          <w:szCs w:val="24"/>
        </w:rPr>
        <w:t xml:space="preserve"> and answered questions about </w:t>
      </w:r>
      <w:r w:rsidR="001F6722" w:rsidRPr="00CB4353">
        <w:rPr>
          <w:szCs w:val="24"/>
        </w:rPr>
        <w:t xml:space="preserve">the </w:t>
      </w:r>
      <w:r w:rsidR="009824C9">
        <w:rPr>
          <w:szCs w:val="24"/>
        </w:rPr>
        <w:t xml:space="preserve">forthcoming triennial valuation of the Fund (as at 31 </w:t>
      </w:r>
      <w:r w:rsidR="00260000">
        <w:rPr>
          <w:szCs w:val="24"/>
        </w:rPr>
        <w:t>M</w:t>
      </w:r>
      <w:r w:rsidR="009824C9">
        <w:rPr>
          <w:szCs w:val="24"/>
        </w:rPr>
        <w:t xml:space="preserve">arch 2022). </w:t>
      </w:r>
    </w:p>
    <w:p w14:paraId="19085E8B" w14:textId="77777777" w:rsidR="004B5D7B" w:rsidRPr="00CB4353" w:rsidRDefault="004B5D7B" w:rsidP="00CB4353">
      <w:pPr>
        <w:pStyle w:val="ListParagraph"/>
        <w:rPr>
          <w:sz w:val="24"/>
          <w:szCs w:val="24"/>
        </w:rPr>
      </w:pPr>
    </w:p>
    <w:p w14:paraId="1CE59C45" w14:textId="34FA359D" w:rsidR="00CB4353" w:rsidRPr="00CB4353" w:rsidRDefault="003315E4" w:rsidP="00CB4353">
      <w:pPr>
        <w:numPr>
          <w:ilvl w:val="0"/>
          <w:numId w:val="16"/>
        </w:numPr>
        <w:jc w:val="both"/>
        <w:rPr>
          <w:szCs w:val="24"/>
        </w:rPr>
      </w:pPr>
      <w:r w:rsidRPr="00CB4353">
        <w:rPr>
          <w:szCs w:val="24"/>
        </w:rPr>
        <w:t xml:space="preserve">The investment dashboard showed that </w:t>
      </w:r>
      <w:r w:rsidR="00260000">
        <w:rPr>
          <w:szCs w:val="24"/>
        </w:rPr>
        <w:t>at 30 September 2021 th</w:t>
      </w:r>
      <w:r w:rsidRPr="00CB4353">
        <w:rPr>
          <w:szCs w:val="24"/>
        </w:rPr>
        <w:t xml:space="preserve">e Pension Fund’s </w:t>
      </w:r>
      <w:r w:rsidR="00260000">
        <w:rPr>
          <w:szCs w:val="24"/>
        </w:rPr>
        <w:t xml:space="preserve">investments were valued at £1,029m and its </w:t>
      </w:r>
      <w:r w:rsidRPr="00CB4353">
        <w:rPr>
          <w:szCs w:val="24"/>
        </w:rPr>
        <w:t>estimated liabilities were £</w:t>
      </w:r>
      <w:r w:rsidR="00CB4353" w:rsidRPr="00CB4353">
        <w:rPr>
          <w:szCs w:val="24"/>
        </w:rPr>
        <w:t>9</w:t>
      </w:r>
      <w:r w:rsidR="00260000">
        <w:rPr>
          <w:szCs w:val="24"/>
        </w:rPr>
        <w:t>85m</w:t>
      </w:r>
      <w:r w:rsidR="00CB4353" w:rsidRPr="00CB4353">
        <w:rPr>
          <w:szCs w:val="24"/>
        </w:rPr>
        <w:t>m</w:t>
      </w:r>
      <w:r w:rsidRPr="00CB4353">
        <w:rPr>
          <w:szCs w:val="24"/>
        </w:rPr>
        <w:t>, meaning that the Investment Funding Level was 10</w:t>
      </w:r>
      <w:r w:rsidR="00260000">
        <w:rPr>
          <w:szCs w:val="24"/>
        </w:rPr>
        <w:t>4</w:t>
      </w:r>
      <w:r w:rsidRPr="00CB4353">
        <w:rPr>
          <w:szCs w:val="24"/>
        </w:rPr>
        <w:t xml:space="preserve">%. This estimate of liabilities is a rolled forward projection based on the 2019 actuarial valuation, the results of which were reported to the </w:t>
      </w:r>
      <w:r w:rsidR="00CB4353" w:rsidRPr="00CB4353">
        <w:rPr>
          <w:szCs w:val="24"/>
        </w:rPr>
        <w:t xml:space="preserve">Pension Fund </w:t>
      </w:r>
      <w:r w:rsidRPr="00CB4353">
        <w:rPr>
          <w:szCs w:val="24"/>
        </w:rPr>
        <w:t xml:space="preserve">Committee in December 2019. </w:t>
      </w:r>
    </w:p>
    <w:p w14:paraId="2FA8CB39" w14:textId="77777777" w:rsidR="00CB4353" w:rsidRPr="00CB4353" w:rsidRDefault="00CB4353" w:rsidP="00CB4353">
      <w:pPr>
        <w:pStyle w:val="ListParagraph"/>
        <w:rPr>
          <w:sz w:val="24"/>
          <w:szCs w:val="24"/>
        </w:rPr>
      </w:pPr>
    </w:p>
    <w:p w14:paraId="79EE1E44" w14:textId="2A7B3971" w:rsidR="003315E4" w:rsidRPr="00CB4353" w:rsidRDefault="003315E4" w:rsidP="00CB4353">
      <w:pPr>
        <w:numPr>
          <w:ilvl w:val="0"/>
          <w:numId w:val="16"/>
        </w:numPr>
        <w:jc w:val="both"/>
        <w:rPr>
          <w:szCs w:val="24"/>
        </w:rPr>
      </w:pPr>
      <w:r w:rsidRPr="00CB4353">
        <w:rPr>
          <w:szCs w:val="24"/>
        </w:rPr>
        <w:t xml:space="preserve">The </w:t>
      </w:r>
      <w:r w:rsidR="00CB4353" w:rsidRPr="00CB4353">
        <w:rPr>
          <w:szCs w:val="24"/>
        </w:rPr>
        <w:t>estimated funding level has improved since the triennial valuation, despite the increase in the value of the Fund’s liabilities (which is partly linked to the forecast yields on investments), because returns on investments have exceeded expectations in that period. The improvement in the most recent quarter is due to the increase in value of investments during that period</w:t>
      </w:r>
      <w:r w:rsidRPr="00CB4353">
        <w:rPr>
          <w:szCs w:val="24"/>
        </w:rPr>
        <w:t>.</w:t>
      </w:r>
    </w:p>
    <w:p w14:paraId="01AA069F" w14:textId="77777777" w:rsidR="00CB4353" w:rsidRPr="00CB4353" w:rsidRDefault="00CB4353" w:rsidP="00CB4353">
      <w:pPr>
        <w:pStyle w:val="ListParagraph"/>
        <w:rPr>
          <w:sz w:val="24"/>
          <w:szCs w:val="24"/>
        </w:rPr>
      </w:pPr>
    </w:p>
    <w:p w14:paraId="13FA3AAF" w14:textId="5D808F57" w:rsidR="00CB4353" w:rsidRPr="00CB4353" w:rsidRDefault="00CB4353" w:rsidP="00CB4353">
      <w:pPr>
        <w:numPr>
          <w:ilvl w:val="0"/>
          <w:numId w:val="16"/>
        </w:numPr>
        <w:jc w:val="both"/>
        <w:rPr>
          <w:szCs w:val="24"/>
        </w:rPr>
      </w:pPr>
      <w:r w:rsidRPr="00CB4353">
        <w:rPr>
          <w:szCs w:val="24"/>
        </w:rPr>
        <w:t xml:space="preserve">However, it should be noted that the 105% funding level relates only to “past service” benefits (i.e. service accrued to date). The Fund will also have to meet liabilities in respect of future service, which will in turn depend on pay levels and other factors. However, taking into account the changes in the forecast growth in liabilities (linked to inflation and pay settlements), and the forecast future return on investments, the probability of the Fund being 100% funded at the end of the agreed </w:t>
      </w:r>
      <w:r w:rsidRPr="00CB4353">
        <w:rPr>
          <w:szCs w:val="24"/>
        </w:rPr>
        <w:lastRenderedPageBreak/>
        <w:t xml:space="preserve">deficit recovery period has increased, and the investment return required to achieve this outcome has fallen, both of which are “good news”. </w:t>
      </w:r>
    </w:p>
    <w:p w14:paraId="35BDB294" w14:textId="77777777" w:rsidR="001F6722" w:rsidRPr="00CB4353" w:rsidRDefault="001F6722" w:rsidP="00CB4353">
      <w:pPr>
        <w:pStyle w:val="ListParagraph"/>
        <w:rPr>
          <w:sz w:val="24"/>
          <w:szCs w:val="24"/>
        </w:rPr>
      </w:pPr>
    </w:p>
    <w:p w14:paraId="47BFB0B9" w14:textId="22D07999" w:rsidR="003315E4" w:rsidRDefault="003315E4" w:rsidP="007E70E3">
      <w:pPr>
        <w:numPr>
          <w:ilvl w:val="0"/>
          <w:numId w:val="16"/>
        </w:numPr>
        <w:jc w:val="both"/>
        <w:rPr>
          <w:szCs w:val="24"/>
        </w:rPr>
      </w:pPr>
      <w:r w:rsidRPr="00D40976">
        <w:rPr>
          <w:szCs w:val="24"/>
        </w:rPr>
        <w:t>The Fund’s valuation at 3</w:t>
      </w:r>
      <w:r w:rsidR="00CB4353" w:rsidRPr="00D40976">
        <w:rPr>
          <w:szCs w:val="24"/>
        </w:rPr>
        <w:t xml:space="preserve">1 </w:t>
      </w:r>
      <w:r w:rsidR="00260000">
        <w:rPr>
          <w:szCs w:val="24"/>
        </w:rPr>
        <w:t xml:space="preserve">October </w:t>
      </w:r>
      <w:r w:rsidRPr="00D40976">
        <w:rPr>
          <w:szCs w:val="24"/>
        </w:rPr>
        <w:t xml:space="preserve">2021 is shown at appendix </w:t>
      </w:r>
      <w:r w:rsidR="00CB4353" w:rsidRPr="00D40976">
        <w:rPr>
          <w:szCs w:val="24"/>
        </w:rPr>
        <w:t>1</w:t>
      </w:r>
      <w:r w:rsidRPr="00D40976">
        <w:rPr>
          <w:szCs w:val="24"/>
        </w:rPr>
        <w:t xml:space="preserve"> – it </w:t>
      </w:r>
      <w:r w:rsidR="00251F95" w:rsidRPr="00D40976">
        <w:rPr>
          <w:szCs w:val="24"/>
        </w:rPr>
        <w:t>ha</w:t>
      </w:r>
      <w:r w:rsidR="00CB4353" w:rsidRPr="00D40976">
        <w:rPr>
          <w:szCs w:val="24"/>
        </w:rPr>
        <w:t>d</w:t>
      </w:r>
      <w:r w:rsidR="00251F95" w:rsidRPr="00D40976">
        <w:rPr>
          <w:szCs w:val="24"/>
        </w:rPr>
        <w:t xml:space="preserve"> </w:t>
      </w:r>
      <w:r w:rsidRPr="00D40976">
        <w:rPr>
          <w:szCs w:val="24"/>
        </w:rPr>
        <w:t>increased further to £</w:t>
      </w:r>
      <w:r w:rsidR="00CB4353" w:rsidRPr="00D40976">
        <w:rPr>
          <w:szCs w:val="24"/>
        </w:rPr>
        <w:t>1,</w:t>
      </w:r>
      <w:r w:rsidR="00260000">
        <w:rPr>
          <w:szCs w:val="24"/>
        </w:rPr>
        <w:t>038</w:t>
      </w:r>
      <w:r w:rsidRPr="00D40976">
        <w:rPr>
          <w:szCs w:val="24"/>
        </w:rPr>
        <w:t xml:space="preserve">m. </w:t>
      </w:r>
      <w:r w:rsidR="00260000">
        <w:rPr>
          <w:szCs w:val="24"/>
        </w:rPr>
        <w:t>Since the September meeting, the planned changes to the Fund’s Fixed Income portfolio have been completed and there have been further drawdowns to both the LCIV Infrastructure Fund and the LCIV Renewables Infrastructure Fund. At 31 October 2021, 68.5% of the Fund’s investments were pooled or in passive investments which are regarded as being pooled.</w:t>
      </w:r>
      <w:r w:rsidR="0059168C">
        <w:rPr>
          <w:szCs w:val="24"/>
        </w:rPr>
        <w:t xml:space="preserve"> </w:t>
      </w:r>
    </w:p>
    <w:p w14:paraId="03D66B6A" w14:textId="3A3A33BC" w:rsidR="00933709" w:rsidRPr="00110A2F" w:rsidRDefault="00933709" w:rsidP="00110A2F">
      <w:pPr>
        <w:jc w:val="both"/>
        <w:rPr>
          <w:szCs w:val="24"/>
        </w:rPr>
      </w:pPr>
    </w:p>
    <w:p w14:paraId="382D260B" w14:textId="13DD1C15" w:rsidR="006B5B52" w:rsidRDefault="006B5B52" w:rsidP="00D92AA1">
      <w:pPr>
        <w:numPr>
          <w:ilvl w:val="0"/>
          <w:numId w:val="16"/>
        </w:numPr>
        <w:jc w:val="both"/>
      </w:pPr>
      <w:r w:rsidRPr="00260000">
        <w:rPr>
          <w:szCs w:val="24"/>
        </w:rPr>
        <w:t xml:space="preserve">For Board members’ information, the </w:t>
      </w:r>
      <w:r w:rsidR="00260000" w:rsidRPr="00260000">
        <w:rPr>
          <w:szCs w:val="24"/>
        </w:rPr>
        <w:t xml:space="preserve">remaining meeting </w:t>
      </w:r>
      <w:r w:rsidRPr="00260000">
        <w:rPr>
          <w:szCs w:val="24"/>
        </w:rPr>
        <w:t xml:space="preserve">of the Pension Fund Committee </w:t>
      </w:r>
      <w:r w:rsidR="00260000" w:rsidRPr="00260000">
        <w:rPr>
          <w:szCs w:val="24"/>
        </w:rPr>
        <w:t>in</w:t>
      </w:r>
      <w:r w:rsidR="00933709" w:rsidRPr="00260000">
        <w:rPr>
          <w:szCs w:val="24"/>
        </w:rPr>
        <w:t xml:space="preserve"> </w:t>
      </w:r>
      <w:r w:rsidR="00260000" w:rsidRPr="00260000">
        <w:rPr>
          <w:szCs w:val="24"/>
        </w:rPr>
        <w:t xml:space="preserve">the </w:t>
      </w:r>
      <w:r w:rsidR="00933709" w:rsidRPr="00260000">
        <w:rPr>
          <w:szCs w:val="24"/>
        </w:rPr>
        <w:t xml:space="preserve">2021-22 municipal year </w:t>
      </w:r>
      <w:r w:rsidR="00260000" w:rsidRPr="00260000">
        <w:rPr>
          <w:szCs w:val="24"/>
        </w:rPr>
        <w:t>is scheduled to take</w:t>
      </w:r>
      <w:r w:rsidR="00260000">
        <w:rPr>
          <w:szCs w:val="24"/>
        </w:rPr>
        <w:t xml:space="preserve"> </w:t>
      </w:r>
      <w:r w:rsidR="00260000" w:rsidRPr="00260000">
        <w:rPr>
          <w:szCs w:val="24"/>
        </w:rPr>
        <w:t xml:space="preserve">place on </w:t>
      </w:r>
      <w:r w:rsidRPr="00260000">
        <w:rPr>
          <w:szCs w:val="24"/>
        </w:rPr>
        <w:t>Wednesday 9</w:t>
      </w:r>
      <w:r w:rsidRPr="00260000">
        <w:rPr>
          <w:szCs w:val="24"/>
          <w:vertAlign w:val="superscript"/>
        </w:rPr>
        <w:t>th</w:t>
      </w:r>
      <w:r w:rsidRPr="00260000">
        <w:rPr>
          <w:szCs w:val="24"/>
        </w:rPr>
        <w:t xml:space="preserve"> March 2022</w:t>
      </w:r>
      <w:r w:rsidR="00260000" w:rsidRPr="00260000">
        <w:rPr>
          <w:szCs w:val="24"/>
        </w:rPr>
        <w:t xml:space="preserve">. </w:t>
      </w:r>
      <w:r w:rsidR="00260000">
        <w:rPr>
          <w:szCs w:val="24"/>
        </w:rPr>
        <w:t>T</w:t>
      </w:r>
      <w:r>
        <w:t xml:space="preserve">he meetings </w:t>
      </w:r>
      <w:r w:rsidR="00260000">
        <w:t>is</w:t>
      </w:r>
      <w:r>
        <w:t xml:space="preserve"> scheduled to start at 6.30pm.  It is intended that a training session will be held</w:t>
      </w:r>
      <w:r w:rsidR="00D365CC">
        <w:t xml:space="preserve"> </w:t>
      </w:r>
      <w:r>
        <w:t>before</w:t>
      </w:r>
      <w:r w:rsidR="00260000">
        <w:t xml:space="preserve"> the</w:t>
      </w:r>
      <w:r>
        <w:t xml:space="preserve"> Pension Fund Committee meeting, beginning at beginning at 5.30pm. All Board members are welcome to attend both the training sessions and the meeting.</w:t>
      </w:r>
      <w:r w:rsidR="00933709">
        <w:t xml:space="preserve"> The meeting will continue to be held </w:t>
      </w:r>
      <w:r w:rsidR="003315E4">
        <w:t xml:space="preserve">in hybrid form, with only the voting members and some officers </w:t>
      </w:r>
      <w:r w:rsidR="00D365CC">
        <w:t xml:space="preserve">required to be </w:t>
      </w:r>
      <w:r w:rsidR="00F6771C">
        <w:t xml:space="preserve">“physically present” with others joining </w:t>
      </w:r>
      <w:r w:rsidR="00933709">
        <w:t xml:space="preserve">via Microsoft Teams until </w:t>
      </w:r>
      <w:r w:rsidR="00F6771C">
        <w:t xml:space="preserve">fully “in person” meetings </w:t>
      </w:r>
      <w:r w:rsidR="0064241B">
        <w:t>can</w:t>
      </w:r>
      <w:r w:rsidR="00F6771C">
        <w:t xml:space="preserve"> be held</w:t>
      </w:r>
      <w:r w:rsidR="00D365CC">
        <w:t xml:space="preserve"> safely.</w:t>
      </w:r>
      <w:r w:rsidR="00933709">
        <w:t xml:space="preserve"> </w:t>
      </w:r>
    </w:p>
    <w:p w14:paraId="5F6BD5FD" w14:textId="77777777" w:rsidR="006B5B52" w:rsidRDefault="006B5B52" w:rsidP="006B5B52">
      <w:pPr>
        <w:pStyle w:val="Heading2"/>
      </w:pPr>
      <w:r>
        <w:t>Legal Implications</w:t>
      </w:r>
    </w:p>
    <w:p w14:paraId="4DA3F6E4" w14:textId="77777777" w:rsidR="006B5B52" w:rsidRDefault="006B5B52" w:rsidP="006B5B52">
      <w:pPr>
        <w:ind w:left="720"/>
        <w:jc w:val="both"/>
      </w:pPr>
    </w:p>
    <w:p w14:paraId="56739B89" w14:textId="77777777" w:rsidR="006B5B52" w:rsidRDefault="006B5B52" w:rsidP="006B5B52">
      <w:pPr>
        <w:pStyle w:val="ListParagraph"/>
      </w:pPr>
    </w:p>
    <w:p w14:paraId="1AE22C2D" w14:textId="7F1C0BB7" w:rsidR="006B5B52" w:rsidRDefault="006B5B52" w:rsidP="000E1E98">
      <w:pPr>
        <w:numPr>
          <w:ilvl w:val="0"/>
          <w:numId w:val="16"/>
        </w:numPr>
        <w:jc w:val="both"/>
        <w:rPr>
          <w:szCs w:val="24"/>
        </w:rPr>
      </w:pPr>
      <w:r w:rsidRPr="00C55540">
        <w:rPr>
          <w:szCs w:val="24"/>
        </w:rPr>
        <w:t>There are no direct legal implications arising from this report.</w:t>
      </w:r>
    </w:p>
    <w:p w14:paraId="71FA671C" w14:textId="77777777" w:rsidR="005740D4" w:rsidRDefault="005740D4" w:rsidP="005740D4">
      <w:pPr>
        <w:ind w:left="720"/>
        <w:jc w:val="both"/>
        <w:rPr>
          <w:szCs w:val="24"/>
        </w:rPr>
      </w:pPr>
    </w:p>
    <w:p w14:paraId="363D85C0" w14:textId="69135E10" w:rsidR="005740D4" w:rsidRPr="00C305BC" w:rsidRDefault="005740D4" w:rsidP="005740D4">
      <w:pPr>
        <w:numPr>
          <w:ilvl w:val="0"/>
          <w:numId w:val="16"/>
        </w:numPr>
        <w:jc w:val="both"/>
        <w:rPr>
          <w:szCs w:val="24"/>
        </w:rPr>
      </w:pPr>
      <w:r w:rsidRPr="00C305BC">
        <w:rPr>
          <w:szCs w:val="24"/>
        </w:rPr>
        <w:t>The terms of reference for the Board include</w:t>
      </w:r>
      <w:r w:rsidRPr="00C305BC">
        <w:t xml:space="preserve"> </w:t>
      </w:r>
      <w:r w:rsidRPr="00C305BC">
        <w:rPr>
          <w:szCs w:val="24"/>
        </w:rPr>
        <w:t>assisting the Administering Authority (London Borough of Harrow) as Scheme Manager in ensuring the effective and efficient governance and administration of the Local Government Pension Scheme.</w:t>
      </w:r>
    </w:p>
    <w:p w14:paraId="75BF25CE" w14:textId="77777777" w:rsidR="006B5B52" w:rsidRDefault="006B5B52" w:rsidP="006B5B52">
      <w:pPr>
        <w:pStyle w:val="Heading2"/>
        <w:spacing w:after="240"/>
      </w:pPr>
      <w:r>
        <w:t>Financial Implications</w:t>
      </w:r>
    </w:p>
    <w:p w14:paraId="4C08F992" w14:textId="0F5B26BD" w:rsidR="006B5B52" w:rsidRDefault="006B5B52" w:rsidP="006B5B52">
      <w:pPr>
        <w:ind w:left="720"/>
        <w:jc w:val="both"/>
        <w:rPr>
          <w:szCs w:val="24"/>
        </w:rPr>
      </w:pPr>
    </w:p>
    <w:p w14:paraId="42CA06A9" w14:textId="2A3E5B29"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w:t>
      </w:r>
      <w:r w:rsidR="00F6771C">
        <w:rPr>
          <w:szCs w:val="24"/>
          <w:lang w:val="en-US"/>
        </w:rPr>
        <w:t xml:space="preserve"> direct </w:t>
      </w:r>
      <w:r w:rsidRPr="006B5B52">
        <w:rPr>
          <w:szCs w:val="24"/>
          <w:lang w:val="en-US"/>
        </w:rPr>
        <w:t>financial implications arising from this report.</w:t>
      </w:r>
    </w:p>
    <w:p w14:paraId="0568C5C0" w14:textId="77777777" w:rsidR="006B5B52" w:rsidRPr="003D2FFE" w:rsidRDefault="006B5B52" w:rsidP="006B5B52">
      <w:pPr>
        <w:pStyle w:val="Heading2"/>
        <w:spacing w:after="240"/>
      </w:pPr>
      <w:r>
        <w:t>Risk Management Implications</w:t>
      </w:r>
    </w:p>
    <w:p w14:paraId="34DCB0E4" w14:textId="117AE982" w:rsidR="006B5B52" w:rsidRDefault="006B5B52" w:rsidP="006B5B52">
      <w:pPr>
        <w:ind w:left="720"/>
        <w:jc w:val="both"/>
        <w:rPr>
          <w:szCs w:val="24"/>
          <w:lang w:val="en-US"/>
        </w:rPr>
      </w:pPr>
    </w:p>
    <w:p w14:paraId="21DD527F" w14:textId="7658E7AB" w:rsidR="00F6771C" w:rsidRPr="003F5AF9" w:rsidRDefault="00F6771C" w:rsidP="00F6771C">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64241B">
        <w:t xml:space="preserve">next review will be considered by the Board at </w:t>
      </w:r>
      <w:r w:rsidR="00260000">
        <w:t>this meeting.</w:t>
      </w:r>
      <w:r>
        <w:t xml:space="preserve"> </w:t>
      </w:r>
    </w:p>
    <w:p w14:paraId="42B288D6" w14:textId="77777777" w:rsidR="00F6771C" w:rsidRPr="003F5AF9" w:rsidRDefault="00F6771C" w:rsidP="00F6771C">
      <w:pPr>
        <w:autoSpaceDE w:val="0"/>
        <w:autoSpaceDN w:val="0"/>
        <w:adjustRightInd w:val="0"/>
        <w:ind w:left="426"/>
        <w:rPr>
          <w:rFonts w:cs="Arial"/>
          <w:color w:val="000000"/>
          <w:szCs w:val="24"/>
          <w:lang w:eastAsia="en-GB"/>
        </w:rPr>
      </w:pPr>
    </w:p>
    <w:p w14:paraId="0E59B0B9" w14:textId="56384425" w:rsidR="00F6771C" w:rsidRPr="00C55540" w:rsidRDefault="00F6771C" w:rsidP="00F6771C">
      <w:pPr>
        <w:numPr>
          <w:ilvl w:val="0"/>
          <w:numId w:val="16"/>
        </w:numPr>
        <w:jc w:val="both"/>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p>
    <w:p w14:paraId="16855B49" w14:textId="77777777" w:rsidR="00C55540" w:rsidRDefault="00C55540" w:rsidP="00C55540">
      <w:pPr>
        <w:pStyle w:val="Heading2"/>
        <w:keepNext/>
        <w:spacing w:after="240"/>
      </w:pPr>
      <w:r w:rsidRPr="004A2543">
        <w:lastRenderedPageBreak/>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w:t>
      </w:r>
      <w:r w:rsidRPr="002E5572">
        <w:rPr>
          <w:b/>
          <w:bCs/>
          <w:sz w:val="24"/>
          <w:szCs w:val="24"/>
        </w:rPr>
        <w:t>No</w:t>
      </w:r>
      <w:r w:rsidRPr="00C55540">
        <w:rPr>
          <w:sz w:val="24"/>
          <w:szCs w:val="24"/>
        </w:rPr>
        <w:t xml:space="preserve"> </w:t>
      </w:r>
    </w:p>
    <w:p w14:paraId="010082B9" w14:textId="77777777" w:rsidR="00C55540" w:rsidRPr="00C55540" w:rsidRDefault="00C55540" w:rsidP="00C55540">
      <w:pPr>
        <w:rPr>
          <w:szCs w:val="24"/>
        </w:rPr>
      </w:pPr>
    </w:p>
    <w:p w14:paraId="6F845081" w14:textId="32E69A0F" w:rsidR="00C55540" w:rsidRP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t xml:space="preserve">Council </w:t>
      </w:r>
      <w:r w:rsidRPr="00CD57D8">
        <w:t>Priorities</w:t>
      </w:r>
    </w:p>
    <w:p w14:paraId="270E4104" w14:textId="4E565CAF"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B3CB6B5" w:rsidR="00912904" w:rsidRPr="00A66326" w:rsidRDefault="00912904" w:rsidP="00912904">
      <w:pPr>
        <w:rPr>
          <w:sz w:val="28"/>
        </w:rPr>
      </w:pPr>
      <w:r w:rsidRPr="00A66326">
        <w:rPr>
          <w:b/>
          <w:sz w:val="28"/>
        </w:rPr>
        <w:t xml:space="preserve">Statutory Officer:  </w:t>
      </w:r>
      <w:r w:rsidR="00290AFE">
        <w:rPr>
          <w:b/>
          <w:sz w:val="28"/>
        </w:rPr>
        <w:t>Dawn Calvert</w:t>
      </w:r>
    </w:p>
    <w:p w14:paraId="57640BD9" w14:textId="1B3D01B2" w:rsidR="00912904" w:rsidRPr="00A66326" w:rsidRDefault="00912904" w:rsidP="00912904">
      <w:r w:rsidRPr="00A66326">
        <w:t>Signed by the Chief Financial Officer</w:t>
      </w:r>
    </w:p>
    <w:p w14:paraId="4E34EDB5" w14:textId="1DC68BC8" w:rsidR="00D365CC" w:rsidRDefault="00912904" w:rsidP="002E5572">
      <w:pPr>
        <w:spacing w:after="480"/>
        <w:rPr>
          <w:b/>
          <w:sz w:val="28"/>
        </w:rPr>
      </w:pPr>
      <w:r w:rsidRPr="00A66326">
        <w:rPr>
          <w:b/>
          <w:sz w:val="28"/>
        </w:rPr>
        <w:t xml:space="preserve">Date: </w:t>
      </w:r>
      <w:r w:rsidR="00290AFE">
        <w:rPr>
          <w:b/>
          <w:sz w:val="28"/>
        </w:rPr>
        <w:t>30/11/2021</w:t>
      </w:r>
    </w:p>
    <w:p w14:paraId="2586CC50" w14:textId="68A80D46" w:rsidR="00912904" w:rsidRPr="00A66326" w:rsidRDefault="00912904" w:rsidP="00912904">
      <w:pPr>
        <w:rPr>
          <w:sz w:val="28"/>
        </w:rPr>
      </w:pPr>
      <w:r w:rsidRPr="00A66326">
        <w:rPr>
          <w:b/>
          <w:sz w:val="28"/>
        </w:rPr>
        <w:t xml:space="preserve">Statutory Officer:  </w:t>
      </w:r>
      <w:r w:rsidR="005740D4">
        <w:rPr>
          <w:b/>
          <w:sz w:val="28"/>
        </w:rPr>
        <w:t>Sharon Clarke</w:t>
      </w:r>
    </w:p>
    <w:p w14:paraId="3F58D77A" w14:textId="16A5F915" w:rsidR="00912904" w:rsidRPr="00A66326" w:rsidRDefault="00912904" w:rsidP="00912904">
      <w:r w:rsidRPr="00A66326">
        <w:t>Signed on behalf of the Monitoring Officer</w:t>
      </w:r>
    </w:p>
    <w:p w14:paraId="61F8C7E6" w14:textId="4FC6004B" w:rsidR="00912904" w:rsidRPr="003313EA" w:rsidRDefault="00912904" w:rsidP="005740D4">
      <w:pPr>
        <w:tabs>
          <w:tab w:val="left" w:pos="1550"/>
        </w:tabs>
        <w:spacing w:after="480"/>
        <w:rPr>
          <w:sz w:val="28"/>
        </w:rPr>
      </w:pPr>
      <w:r w:rsidRPr="00A66326">
        <w:rPr>
          <w:b/>
          <w:sz w:val="28"/>
        </w:rPr>
        <w:t xml:space="preserve">Date:  </w:t>
      </w:r>
      <w:r w:rsidR="005740D4">
        <w:rPr>
          <w:b/>
          <w:sz w:val="28"/>
        </w:rPr>
        <w:t>30/11/2021</w:t>
      </w:r>
    </w:p>
    <w:p w14:paraId="2019A53D" w14:textId="1E5EDE09" w:rsidR="00912904" w:rsidRPr="00A66326" w:rsidRDefault="004A4A1D" w:rsidP="00912904">
      <w:pPr>
        <w:rPr>
          <w:sz w:val="28"/>
        </w:rPr>
      </w:pPr>
      <w:r>
        <w:rPr>
          <w:b/>
          <w:sz w:val="28"/>
        </w:rPr>
        <w:t>Chief</w:t>
      </w:r>
      <w:r w:rsidR="00912904" w:rsidRPr="00A66326">
        <w:rPr>
          <w:b/>
          <w:sz w:val="28"/>
        </w:rPr>
        <w:t xml:space="preserve"> Officer:  </w:t>
      </w:r>
      <w:r w:rsidR="00A34E82">
        <w:rPr>
          <w:b/>
          <w:sz w:val="28"/>
        </w:rPr>
        <w:t>Dawn Calvert</w:t>
      </w:r>
    </w:p>
    <w:p w14:paraId="12E4D11B" w14:textId="105C993E" w:rsidR="00912904" w:rsidRPr="00A66326" w:rsidRDefault="00365D29" w:rsidP="00912904">
      <w:r>
        <w:t>Signed</w:t>
      </w:r>
      <w:r w:rsidR="00912904" w:rsidRPr="00A66326">
        <w:t xml:space="preserve"> </w:t>
      </w:r>
      <w:r w:rsidR="00581AB1">
        <w:t>on behalf of</w:t>
      </w:r>
      <w:r w:rsidR="00912904" w:rsidRPr="00A66326">
        <w:t xml:space="preserve"> the Corporate Director</w:t>
      </w:r>
    </w:p>
    <w:p w14:paraId="21482980" w14:textId="2D18E59A" w:rsidR="00912904" w:rsidRPr="00A66326" w:rsidRDefault="00912904" w:rsidP="00912904">
      <w:pPr>
        <w:spacing w:after="480"/>
        <w:rPr>
          <w:sz w:val="28"/>
        </w:rPr>
      </w:pPr>
      <w:r w:rsidRPr="00A66326">
        <w:rPr>
          <w:b/>
          <w:sz w:val="28"/>
        </w:rPr>
        <w:t xml:space="preserve">Date:  </w:t>
      </w:r>
      <w:r w:rsidR="00A34E82">
        <w:rPr>
          <w:b/>
          <w:sz w:val="28"/>
        </w:rPr>
        <w:t>7/12/2021</w:t>
      </w:r>
    </w:p>
    <w:p w14:paraId="686CE5D8" w14:textId="77777777" w:rsidR="00912904" w:rsidRPr="00435B5D" w:rsidRDefault="00912904" w:rsidP="00912904">
      <w:pPr>
        <w:pStyle w:val="Heading2"/>
        <w:spacing w:after="240"/>
      </w:pPr>
      <w:r>
        <w:t>Mandatory Checks</w:t>
      </w:r>
    </w:p>
    <w:p w14:paraId="71FBC41D" w14:textId="7581A8CD" w:rsidR="00912904" w:rsidRPr="003313EA" w:rsidRDefault="00912904" w:rsidP="00C55540">
      <w:pPr>
        <w:pStyle w:val="Heading3"/>
        <w:ind w:left="0" w:firstLine="0"/>
        <w:rPr>
          <w:i/>
          <w:color w:val="FF0000"/>
          <w:szCs w:val="24"/>
        </w:rPr>
      </w:pPr>
      <w:r w:rsidRPr="00E90AFF">
        <w:rPr>
          <w:sz w:val="28"/>
        </w:rPr>
        <w:t xml:space="preserve">Ward Councillors notified:  </w:t>
      </w:r>
      <w:r w:rsidRPr="002E5572">
        <w:rPr>
          <w:b w:val="0"/>
          <w:bCs w:val="0"/>
          <w:sz w:val="28"/>
        </w:rPr>
        <w:t>N</w:t>
      </w:r>
      <w:r w:rsidR="00F6771C" w:rsidRPr="002E5572">
        <w:rPr>
          <w:b w:val="0"/>
          <w:bCs w:val="0"/>
          <w:sz w:val="28"/>
        </w:rPr>
        <w:t>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4"/>
  </w:num>
  <w:num w:numId="10">
    <w:abstractNumId w:val="17"/>
  </w:num>
  <w:num w:numId="11">
    <w:abstractNumId w:val="22"/>
  </w:num>
  <w:num w:numId="12">
    <w:abstractNumId w:val="15"/>
  </w:num>
  <w:num w:numId="13">
    <w:abstractNumId w:val="3"/>
  </w:num>
  <w:num w:numId="14">
    <w:abstractNumId w:val="6"/>
  </w:num>
  <w:num w:numId="15">
    <w:abstractNumId w:val="12"/>
  </w:num>
  <w:num w:numId="16">
    <w:abstractNumId w:val="11"/>
  </w:num>
  <w:num w:numId="17">
    <w:abstractNumId w:val="0"/>
  </w:num>
  <w:num w:numId="18">
    <w:abstractNumId w:val="8"/>
  </w:num>
  <w:num w:numId="19">
    <w:abstractNumId w:val="10"/>
  </w:num>
  <w:num w:numId="20">
    <w:abstractNumId w:val="2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57F10"/>
    <w:rsid w:val="000633A2"/>
    <w:rsid w:val="00070F70"/>
    <w:rsid w:val="00071EB4"/>
    <w:rsid w:val="00077298"/>
    <w:rsid w:val="000A58A1"/>
    <w:rsid w:val="000A6659"/>
    <w:rsid w:val="000B0E6F"/>
    <w:rsid w:val="000B6DBB"/>
    <w:rsid w:val="000D2BF2"/>
    <w:rsid w:val="000D5870"/>
    <w:rsid w:val="000F65C0"/>
    <w:rsid w:val="00110A2F"/>
    <w:rsid w:val="001167DE"/>
    <w:rsid w:val="00182AA1"/>
    <w:rsid w:val="001939BA"/>
    <w:rsid w:val="001A472C"/>
    <w:rsid w:val="001A6EB0"/>
    <w:rsid w:val="001B441D"/>
    <w:rsid w:val="001C4374"/>
    <w:rsid w:val="001C5225"/>
    <w:rsid w:val="001C6F48"/>
    <w:rsid w:val="001E0219"/>
    <w:rsid w:val="001F6722"/>
    <w:rsid w:val="00213BE7"/>
    <w:rsid w:val="00231A1D"/>
    <w:rsid w:val="00244120"/>
    <w:rsid w:val="00251F95"/>
    <w:rsid w:val="00260000"/>
    <w:rsid w:val="00290AFE"/>
    <w:rsid w:val="00293F9F"/>
    <w:rsid w:val="002A2389"/>
    <w:rsid w:val="002A2C3A"/>
    <w:rsid w:val="002A5BDC"/>
    <w:rsid w:val="002C08E2"/>
    <w:rsid w:val="002C1794"/>
    <w:rsid w:val="002D2FC5"/>
    <w:rsid w:val="002E5572"/>
    <w:rsid w:val="002E6637"/>
    <w:rsid w:val="002E77E3"/>
    <w:rsid w:val="003315E4"/>
    <w:rsid w:val="00332947"/>
    <w:rsid w:val="00333EB4"/>
    <w:rsid w:val="00345915"/>
    <w:rsid w:val="0035176F"/>
    <w:rsid w:val="00365D29"/>
    <w:rsid w:val="00374F22"/>
    <w:rsid w:val="003D2FFE"/>
    <w:rsid w:val="00400032"/>
    <w:rsid w:val="0042394B"/>
    <w:rsid w:val="00473B08"/>
    <w:rsid w:val="00474B5F"/>
    <w:rsid w:val="00481F2C"/>
    <w:rsid w:val="0049221F"/>
    <w:rsid w:val="004A3CE6"/>
    <w:rsid w:val="004A4A1D"/>
    <w:rsid w:val="004B2C9D"/>
    <w:rsid w:val="004B4A47"/>
    <w:rsid w:val="004B5D7B"/>
    <w:rsid w:val="004E667D"/>
    <w:rsid w:val="004E6AF9"/>
    <w:rsid w:val="005031DF"/>
    <w:rsid w:val="00540AA5"/>
    <w:rsid w:val="00542378"/>
    <w:rsid w:val="00567D42"/>
    <w:rsid w:val="005740D4"/>
    <w:rsid w:val="00581AB1"/>
    <w:rsid w:val="0059168C"/>
    <w:rsid w:val="00597314"/>
    <w:rsid w:val="005A61AF"/>
    <w:rsid w:val="005C19FD"/>
    <w:rsid w:val="005D0886"/>
    <w:rsid w:val="005E384D"/>
    <w:rsid w:val="005F2181"/>
    <w:rsid w:val="005F724B"/>
    <w:rsid w:val="00625DFF"/>
    <w:rsid w:val="0063072B"/>
    <w:rsid w:val="0064241B"/>
    <w:rsid w:val="00662891"/>
    <w:rsid w:val="006628B7"/>
    <w:rsid w:val="00675FCB"/>
    <w:rsid w:val="006B3942"/>
    <w:rsid w:val="006B5B52"/>
    <w:rsid w:val="006C3914"/>
    <w:rsid w:val="006D3648"/>
    <w:rsid w:val="0074184E"/>
    <w:rsid w:val="00743829"/>
    <w:rsid w:val="0075166A"/>
    <w:rsid w:val="00751DF2"/>
    <w:rsid w:val="00755F8D"/>
    <w:rsid w:val="00777E2D"/>
    <w:rsid w:val="00796503"/>
    <w:rsid w:val="007B524B"/>
    <w:rsid w:val="007D2BDA"/>
    <w:rsid w:val="007D56C8"/>
    <w:rsid w:val="007E3934"/>
    <w:rsid w:val="007E7303"/>
    <w:rsid w:val="008212A0"/>
    <w:rsid w:val="00837F53"/>
    <w:rsid w:val="00845600"/>
    <w:rsid w:val="008D1750"/>
    <w:rsid w:val="008D7800"/>
    <w:rsid w:val="008E2910"/>
    <w:rsid w:val="008E4913"/>
    <w:rsid w:val="008E6C0C"/>
    <w:rsid w:val="00900464"/>
    <w:rsid w:val="0090100E"/>
    <w:rsid w:val="00912904"/>
    <w:rsid w:val="00933709"/>
    <w:rsid w:val="0093767E"/>
    <w:rsid w:val="00972A02"/>
    <w:rsid w:val="009824C9"/>
    <w:rsid w:val="0099517C"/>
    <w:rsid w:val="009A0937"/>
    <w:rsid w:val="009B2ECD"/>
    <w:rsid w:val="009B7914"/>
    <w:rsid w:val="009F430B"/>
    <w:rsid w:val="00A160B2"/>
    <w:rsid w:val="00A34E82"/>
    <w:rsid w:val="00A360D6"/>
    <w:rsid w:val="00A42A08"/>
    <w:rsid w:val="00A566E7"/>
    <w:rsid w:val="00A644A0"/>
    <w:rsid w:val="00A940D3"/>
    <w:rsid w:val="00A96FCA"/>
    <w:rsid w:val="00AA4BE8"/>
    <w:rsid w:val="00AC0AAB"/>
    <w:rsid w:val="00AC7BA9"/>
    <w:rsid w:val="00AE19AC"/>
    <w:rsid w:val="00B0425E"/>
    <w:rsid w:val="00B67880"/>
    <w:rsid w:val="00B900E2"/>
    <w:rsid w:val="00B9118E"/>
    <w:rsid w:val="00BD6115"/>
    <w:rsid w:val="00BD684A"/>
    <w:rsid w:val="00BF6C03"/>
    <w:rsid w:val="00C32DAE"/>
    <w:rsid w:val="00C34564"/>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82F57"/>
    <w:rsid w:val="00D841A5"/>
    <w:rsid w:val="00D914D2"/>
    <w:rsid w:val="00DA25DB"/>
    <w:rsid w:val="00DB0791"/>
    <w:rsid w:val="00DC2881"/>
    <w:rsid w:val="00DD4251"/>
    <w:rsid w:val="00E02B50"/>
    <w:rsid w:val="00E03F11"/>
    <w:rsid w:val="00E06DC8"/>
    <w:rsid w:val="00E220B5"/>
    <w:rsid w:val="00E33D93"/>
    <w:rsid w:val="00E609EF"/>
    <w:rsid w:val="00E8515B"/>
    <w:rsid w:val="00E90AFF"/>
    <w:rsid w:val="00EF2F91"/>
    <w:rsid w:val="00F1403C"/>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1306</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8464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9</cp:revision>
  <cp:lastPrinted>2007-07-12T09:53:00Z</cp:lastPrinted>
  <dcterms:created xsi:type="dcterms:W3CDTF">2021-11-30T14:07:00Z</dcterms:created>
  <dcterms:modified xsi:type="dcterms:W3CDTF">2021-12-07T11:04:00Z</dcterms:modified>
</cp:coreProperties>
</file>